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D7" w:rsidRPr="009253E4" w:rsidRDefault="001322D7" w:rsidP="001322D7">
      <w:pPr>
        <w:shd w:val="clear" w:color="auto" w:fill="FFFFFF"/>
        <w:spacing w:before="360" w:after="240" w:line="240" w:lineRule="auto"/>
        <w:ind w:left="1134" w:right="1134" w:firstLine="0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Toc452152408"/>
      <w:bookmarkStart w:id="1" w:name="_Toc523489684"/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253E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bookmarkEnd w:id="0"/>
      <w:r w:rsidRPr="009253E4">
        <w:rPr>
          <w:rFonts w:ascii="Times New Roman" w:hAnsi="Times New Roman"/>
          <w:b/>
          <w:color w:val="000000"/>
          <w:sz w:val="24"/>
          <w:szCs w:val="24"/>
        </w:rPr>
        <w:t>Наличные и безналичные расчеты. Принципы организ</w:t>
      </w:r>
      <w:r w:rsidRPr="009253E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253E4">
        <w:rPr>
          <w:rFonts w:ascii="Times New Roman" w:hAnsi="Times New Roman"/>
          <w:b/>
          <w:color w:val="000000"/>
          <w:sz w:val="24"/>
          <w:szCs w:val="24"/>
        </w:rPr>
        <w:t>ции и формы</w:t>
      </w:r>
      <w:bookmarkEnd w:id="1"/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Денежный оборот -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процесс непрерывного движения денежных знаков в наличной и безналичной формах. В условиях металлического обращения денежный оборот выступает стоимостным оборотом. Современный денежный оборот стоимостным не является, поскольку стоимость денежного знака ничтожно мала. Стоимостным сегодня можно считать только товарный оборот.</w:t>
      </w: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Платежный оборот -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процесс движения различных платежных средств, применяемых в стране. Данное понятие включает движение денег как в налично-денежном, так и безналичном обороте, а также движение других платежных инструментов — чеков, векселей. Эти платежные инструменты не являются деньгами в принятом понимании, однако могут выполнять функции денег — средства обращения и средства платежа. </w:t>
      </w: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Денежный оборот является частью платежного оборота.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свою очередь </w:t>
      </w:r>
      <w:r w:rsidRPr="009253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денежное обращение 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— это часть денежного оборота и представляет собой оборот наличных денег, которые участвуют во многих сделках в неизменном виде в отличие от движения денежной единицы в безналичном обороте в виде записей по счетам в банке.</w:t>
      </w: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Денежный оборот страны, отражая движение денег, состоит из их обращения между:</w:t>
      </w:r>
    </w:p>
    <w:p w:rsidR="001322D7" w:rsidRPr="009253E4" w:rsidRDefault="001322D7" w:rsidP="001322D7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центральным банком и коммерческими банками;</w:t>
      </w:r>
    </w:p>
    <w:p w:rsidR="001322D7" w:rsidRPr="009253E4" w:rsidRDefault="001322D7" w:rsidP="001322D7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коммерческими банками;</w:t>
      </w:r>
    </w:p>
    <w:p w:rsidR="001322D7" w:rsidRPr="009253E4" w:rsidRDefault="001322D7" w:rsidP="001322D7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коммерческими банками и их клиентами;</w:t>
      </w:r>
    </w:p>
    <w:p w:rsidR="001322D7" w:rsidRPr="009253E4" w:rsidRDefault="001322D7" w:rsidP="001322D7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предприятиями и организациями;</w:t>
      </w:r>
    </w:p>
    <w:p w:rsidR="001322D7" w:rsidRPr="009253E4" w:rsidRDefault="001322D7" w:rsidP="001322D7">
      <w:pPr>
        <w:numPr>
          <w:ilvl w:val="0"/>
          <w:numId w:val="1"/>
        </w:numPr>
        <w:shd w:val="clear" w:color="auto" w:fill="FFFFFF"/>
        <w:spacing w:before="100" w:beforeAutospacing="1" w:after="30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физическими лицами.</w:t>
      </w: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Денежный оборот в условиях рыночных отношений решает две </w:t>
      </w:r>
      <w:r w:rsidRPr="009253E4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задачи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22D7" w:rsidRPr="009253E4" w:rsidRDefault="001322D7" w:rsidP="001322D7">
      <w:pPr>
        <w:numPr>
          <w:ilvl w:val="0"/>
          <w:numId w:val="2"/>
        </w:numPr>
        <w:shd w:val="clear" w:color="auto" w:fill="FFFFFF"/>
        <w:spacing w:before="100" w:beforeAutospacing="1" w:after="30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перераспределяет деньги между различными секторами экономики, обеспечивает перелив капитала из одной сферы рынка в другую;</w:t>
      </w:r>
    </w:p>
    <w:p w:rsidR="001322D7" w:rsidRPr="009253E4" w:rsidRDefault="001322D7" w:rsidP="001322D7">
      <w:pPr>
        <w:numPr>
          <w:ilvl w:val="0"/>
          <w:numId w:val="2"/>
        </w:numPr>
        <w:shd w:val="clear" w:color="auto" w:fill="FFFFFF"/>
        <w:spacing w:before="100" w:beforeAutospacing="1" w:line="255" w:lineRule="atLeast"/>
        <w:ind w:left="3705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в самом процессе денежного оборота создаются новые деньги, которые обеспечивают удовлетворение потребности в них всех рыночных сегментов.</w:t>
      </w:r>
    </w:p>
    <w:p w:rsidR="001322D7" w:rsidRPr="009253E4" w:rsidRDefault="001322D7" w:rsidP="001322D7">
      <w:pPr>
        <w:spacing w:line="240" w:lineRule="auto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Денежный оборот делится на </w:t>
      </w:r>
      <w:r w:rsidRPr="009253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налично-денежный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253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безналичный оборот.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Налично-денежный оборот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движение наличных денежных знаков: бумажных денег, разменной монеты и банкнот</w:t>
      </w: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платежа. Он включает все платежи, осуществляемые наличными деньгами, за определенный период времени (год, квартал, месяц).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Безналичный денежный оборот -</w:t>
      </w: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часть совокупного денежного оборота, заключающегося в использовании безналичных расчетов путем записей по счетам в банках и зачетов встречных требований. В странах с развитой рыночной экономикой он превышает 90% всего совокупного денежного оборота, в России его доля несколько меньше.</w:t>
      </w: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Безналичный оборот 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преобладает во всех странах и обслуживается чеками, кредитными карточками, жироприказами, платежными поручениями, электронными средствами платежа и иными расчетными документами. 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53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черты и особенности безналичного и наличного оборота</w:t>
      </w:r>
    </w:p>
    <w:tbl>
      <w:tblPr>
        <w:tblStyle w:val="a4"/>
        <w:tblW w:w="9931" w:type="dxa"/>
        <w:tblLook w:val="04A0"/>
      </w:tblPr>
      <w:tblGrid>
        <w:gridCol w:w="3411"/>
        <w:gridCol w:w="3402"/>
        <w:gridCol w:w="3118"/>
      </w:tblGrid>
      <w:tr w:rsidR="001322D7" w:rsidRPr="009253E4" w:rsidTr="001322D7">
        <w:tc>
          <w:tcPr>
            <w:tcW w:w="3411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Принцип сравнения</w:t>
            </w:r>
          </w:p>
        </w:tc>
        <w:tc>
          <w:tcPr>
            <w:tcW w:w="3402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Безналичный оборот</w:t>
            </w:r>
          </w:p>
        </w:tc>
        <w:tc>
          <w:tcPr>
            <w:tcW w:w="3118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Наличный оборот</w:t>
            </w:r>
          </w:p>
        </w:tc>
      </w:tr>
      <w:tr w:rsidR="001322D7" w:rsidRPr="009253E4" w:rsidTr="001322D7">
        <w:tc>
          <w:tcPr>
            <w:tcW w:w="3411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Регулирование оборота</w:t>
            </w:r>
          </w:p>
        </w:tc>
        <w:tc>
          <w:tcPr>
            <w:tcW w:w="6520" w:type="dxa"/>
            <w:gridSpan w:val="2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на основе единой законодательной базы</w:t>
            </w:r>
          </w:p>
        </w:tc>
      </w:tr>
      <w:tr w:rsidR="001322D7" w:rsidRPr="009253E4" w:rsidTr="001322D7">
        <w:tc>
          <w:tcPr>
            <w:tcW w:w="3411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Денежная единица</w:t>
            </w:r>
          </w:p>
        </w:tc>
        <w:tc>
          <w:tcPr>
            <w:tcW w:w="6520" w:type="dxa"/>
            <w:gridSpan w:val="2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Одинаковая</w:t>
            </w:r>
          </w:p>
        </w:tc>
      </w:tr>
      <w:tr w:rsidR="001322D7" w:rsidRPr="009253E4" w:rsidTr="001322D7">
        <w:tc>
          <w:tcPr>
            <w:tcW w:w="3411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расчетов</w:t>
            </w:r>
          </w:p>
        </w:tc>
        <w:tc>
          <w:tcPr>
            <w:tcW w:w="3402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Плательщик, получатель, банк</w:t>
            </w:r>
          </w:p>
        </w:tc>
        <w:tc>
          <w:tcPr>
            <w:tcW w:w="3118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Плательщик, получатель</w:t>
            </w:r>
          </w:p>
        </w:tc>
      </w:tr>
      <w:tr w:rsidR="001322D7" w:rsidRPr="009253E4" w:rsidTr="001322D7">
        <w:tc>
          <w:tcPr>
            <w:tcW w:w="3411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кредитных отношений</w:t>
            </w:r>
          </w:p>
        </w:tc>
        <w:tc>
          <w:tcPr>
            <w:tcW w:w="3402" w:type="dxa"/>
            <w:hideMark/>
          </w:tcPr>
          <w:p w:rsidR="001322D7" w:rsidRPr="009253E4" w:rsidRDefault="001322D7" w:rsidP="00E655A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имеют кредитные отношения с банком, которые проявляются в суммах остатков на счетах</w:t>
            </w:r>
          </w:p>
        </w:tc>
        <w:tc>
          <w:tcPr>
            <w:tcW w:w="3118" w:type="dxa"/>
            <w:hideMark/>
          </w:tcPr>
          <w:p w:rsidR="001322D7" w:rsidRPr="009253E4" w:rsidRDefault="001322D7" w:rsidP="00E655A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Кредитные отношения отсутствуют</w:t>
            </w:r>
          </w:p>
        </w:tc>
      </w:tr>
      <w:tr w:rsidR="001322D7" w:rsidRPr="009253E4" w:rsidTr="001322D7">
        <w:tc>
          <w:tcPr>
            <w:tcW w:w="3411" w:type="dxa"/>
            <w:hideMark/>
          </w:tcPr>
          <w:p w:rsidR="001322D7" w:rsidRPr="009253E4" w:rsidRDefault="001322D7" w:rsidP="00E655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передачи денег</w:t>
            </w:r>
          </w:p>
        </w:tc>
        <w:tc>
          <w:tcPr>
            <w:tcW w:w="3402" w:type="dxa"/>
            <w:hideMark/>
          </w:tcPr>
          <w:p w:rsidR="001322D7" w:rsidRPr="009253E4" w:rsidRDefault="001322D7" w:rsidP="00E655A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(перечисление) денег производится путем записей по банковским счетам</w:t>
            </w:r>
          </w:p>
        </w:tc>
        <w:tc>
          <w:tcPr>
            <w:tcW w:w="3118" w:type="dxa"/>
            <w:hideMark/>
          </w:tcPr>
          <w:p w:rsidR="001322D7" w:rsidRPr="009253E4" w:rsidRDefault="001322D7" w:rsidP="00E655A4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наличных денег плательщиком получателю</w:t>
            </w:r>
          </w:p>
        </w:tc>
      </w:tr>
    </w:tbl>
    <w:p w:rsidR="001322D7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Налично-денежный оборот</w:t>
      </w: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начинается в Центральном банке РФ. Наличные деньги переводятся из его резервных фондов в оборотные кассы (ГРКЦ или РКЦ). Из последних они направляются в операционные кассы коммерческих банков для выдачи клиентам — юридическим или физическим лицам (либо в кассы предприятий и организаций, либо непосредственно населению) и таким образом поступают в обращение.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наличных денег из касс предприятий и организаций может использоваться для расчетов между ними, если стоимость покупки не превышает предельной суммы платежа, установленной в законодательном порядке. Но большая их часть передастся населению в виде различных видов денежных доходов — заработной платы, пенсий и пособий, стипендий, страховых возмещений, выплаты дивидендов, поступлений от продажи ценных бумаг и т.д.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 также использует наличные деньги для взаиморасчетов, но их большая часть расходуется на выплату налогов, сборов, страховых платежей, квартплаты и коммунальных платежей, погашение ссуд, покупку товаров и оплату различных платных услуг, приобретение ценных бумаг и лотерейных билетов, арендные платежи, уплату штрафов, пени, неустоек и т.д. Таким образом, наличные деньги от населения поступают либо непосредственно в операционные кассы коммерческих банков, либо в кассы предприятий и организаций, прежде всего предприятий торговли и услуг.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Следовательно, выпуск наличных денег в обращение и изъятие их из него происходят постоянно. Они поступают в оборот, когда банки в процессе осуществления кассовых операций выдают их клиентам из своих операционных касс. Но поскольку одновременно клиенты сдают наличные деньги в операционные кассы банков, то их общее количество в обороте может и не увеличиваться. Поэтому-то и различают понятия «выпуск денег» и «эмиссия денег».</w:t>
      </w:r>
    </w:p>
    <w:p w:rsidR="001322D7" w:rsidRPr="009253E4" w:rsidRDefault="001322D7" w:rsidP="001322D7">
      <w:pPr>
        <w:shd w:val="clear" w:color="auto" w:fill="FFFFFF"/>
        <w:spacing w:before="360" w:after="240" w:line="240" w:lineRule="auto"/>
        <w:ind w:left="1134" w:right="1134" w:firstLine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1.2.. Безналичные расчеты: принципы организации  и формы безналичных расчетов</w:t>
      </w:r>
    </w:p>
    <w:p w:rsidR="001322D7" w:rsidRPr="009253E4" w:rsidRDefault="001322D7" w:rsidP="001322D7">
      <w:pPr>
        <w:shd w:val="clear" w:color="auto" w:fill="FFFFFF"/>
        <w:spacing w:before="120" w:line="255" w:lineRule="atLeast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Безналичным </w:t>
      </w:r>
      <w:hyperlink r:id="rId5" w:tooltip="Денежное обращение" w:history="1">
        <w:r w:rsidRPr="009253E4">
          <w:rPr>
            <w:rFonts w:ascii="Times New Roman" w:eastAsia="Times New Roman" w:hAnsi="Times New Roman"/>
            <w:sz w:val="24"/>
            <w:szCs w:val="24"/>
            <w:lang w:eastAsia="ru-RU"/>
          </w:rPr>
          <w:t>денежным обращением</w:t>
        </w:r>
      </w:hyperlink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сумма платежей, осуществляемая путем перечисления денежных средств по банковским счетам в безналичной форме, т. е. в форме записей на счетах.</w:t>
      </w:r>
    </w:p>
    <w:p w:rsidR="001322D7" w:rsidRPr="009253E4" w:rsidRDefault="001322D7" w:rsidP="001322D7">
      <w:pPr>
        <w:shd w:val="clear" w:color="auto" w:fill="FFFFFF"/>
        <w:spacing w:line="240" w:lineRule="auto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 безналичного расчета:</w:t>
      </w:r>
    </w:p>
    <w:p w:rsidR="001322D7" w:rsidRPr="009253E4" w:rsidRDefault="001322D7" w:rsidP="001322D7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57" w:hanging="357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контроль денежного оборота;</w:t>
      </w:r>
    </w:p>
    <w:p w:rsidR="001322D7" w:rsidRPr="009253E4" w:rsidRDefault="001322D7" w:rsidP="001322D7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57" w:hanging="357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кредитных возможностей </w:t>
      </w:r>
      <w:hyperlink r:id="rId6" w:tooltip="Банковская система" w:history="1">
        <w:r w:rsidRPr="009253E4">
          <w:rPr>
            <w:rFonts w:ascii="Times New Roman" w:eastAsia="Times New Roman" w:hAnsi="Times New Roman"/>
            <w:sz w:val="24"/>
            <w:szCs w:val="24"/>
            <w:lang w:eastAsia="ru-RU"/>
          </w:rPr>
          <w:t>банковской системы</w:t>
        </w:r>
      </w:hyperlink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2D7" w:rsidRPr="009253E4" w:rsidRDefault="001322D7" w:rsidP="001322D7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57" w:hanging="357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безналичный оборот ускоряет оборот денежных средств и оборот </w:t>
      </w:r>
      <w:hyperlink r:id="rId7" w:tooltip="Материальные ресурсы" w:history="1">
        <w:r w:rsidRPr="009253E4">
          <w:rPr>
            <w:rFonts w:ascii="Times New Roman" w:eastAsia="Times New Roman" w:hAnsi="Times New Roman"/>
            <w:sz w:val="24"/>
            <w:szCs w:val="24"/>
            <w:lang w:eastAsia="ru-RU"/>
          </w:rPr>
          <w:t>материальных ресурсов</w:t>
        </w:r>
      </w:hyperlink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22D7" w:rsidRPr="009253E4" w:rsidRDefault="001322D7" w:rsidP="001322D7">
      <w:pPr>
        <w:shd w:val="clear" w:color="auto" w:fill="FFFFFF"/>
        <w:spacing w:line="240" w:lineRule="auto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 безналичных расчетов велико, так как:</w:t>
      </w:r>
    </w:p>
    <w:p w:rsidR="001322D7" w:rsidRPr="009253E4" w:rsidRDefault="001322D7" w:rsidP="001322D7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57" w:hanging="357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способствуют концентрации денежных ресурсов в банках. Временно свободные денежные средства предприятий, хранящиеся в банках, являются одним из источников кредитования;</w:t>
      </w:r>
    </w:p>
    <w:p w:rsidR="001322D7" w:rsidRPr="009253E4" w:rsidRDefault="001322D7" w:rsidP="001322D7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57" w:hanging="357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способствуют нормальному кругообороту средств в народном хозяйстве;</w:t>
      </w:r>
    </w:p>
    <w:p w:rsidR="001322D7" w:rsidRPr="009253E4" w:rsidRDefault="001322D7" w:rsidP="001322D7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57" w:hanging="357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четкое разграничение безналичного и наличного денежного оборотов создает условия, облегчающие планирование денежного обращения и безналичного денежного оборота. Расширение сферы безналичного оборота позволяет более точно определять размеры эмиссии и изъятия наличных денег из обращения.</w:t>
      </w:r>
    </w:p>
    <w:p w:rsidR="001322D7" w:rsidRPr="009253E4" w:rsidRDefault="001322D7" w:rsidP="001322D7">
      <w:pPr>
        <w:shd w:val="clear" w:color="auto" w:fill="FFFFFF"/>
        <w:spacing w:line="240" w:lineRule="auto"/>
        <w:ind w:firstLine="0"/>
        <w:jc w:val="lef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осуществления безналичных расчетов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Первый принцип — правовой режим осуществления расчетов и платежей.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Второй принцип — осуществление расчетов по банковским счетам.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Третий принцип — поддержание ликвидности на уровне, обеспечивающем бесперебойное осуществление платежей.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Четвертый принцип — наличие акцепта (согласия) плательщика на платеж.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Пятый принцип — принцип срочности платежа.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Шестой принцип — контроль всех участников за правильностью совершения расчетов, соблюдением установленных положений о порядке их проведения.</w:t>
      </w:r>
    </w:p>
    <w:p w:rsidR="001322D7" w:rsidRPr="009253E4" w:rsidRDefault="001322D7" w:rsidP="001322D7">
      <w:pPr>
        <w:pStyle w:val="a3"/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Седьмой принцип — имущественная ответственность за соблюдением договорных условий.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проведения безналичных расчетов устанавливаются </w:t>
      </w:r>
      <w:hyperlink r:id="rId8" w:tooltip="Центральный банк" w:history="1">
        <w:r w:rsidRPr="009253E4">
          <w:rPr>
            <w:rFonts w:ascii="Times New Roman" w:eastAsia="Times New Roman" w:hAnsi="Times New Roman"/>
            <w:sz w:val="24"/>
            <w:szCs w:val="24"/>
            <w:lang w:eastAsia="ru-RU"/>
          </w:rPr>
          <w:t>Центральным банком</w:t>
        </w:r>
      </w:hyperlink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РФ. В настоящее время действует Положение о безналичных расчетах в РФ, утвержденное ЦБ РФ 12 апреля 2001 г. № 2-П. Это положение содержит правила осуществления безналичных расчетов для </w:t>
      </w:r>
      <w:hyperlink r:id="rId9" w:tooltip="Юридическое лицо" w:history="1">
        <w:r w:rsidRPr="009253E4">
          <w:rPr>
            <w:rFonts w:ascii="Times New Roman" w:eastAsia="Times New Roman" w:hAnsi="Times New Roman"/>
            <w:sz w:val="24"/>
            <w:szCs w:val="24"/>
            <w:lang w:eastAsia="ru-RU"/>
          </w:rPr>
          <w:t>юридических лиц</w:t>
        </w:r>
      </w:hyperlink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безналичных расчетов </w:t>
      </w:r>
      <w:hyperlink r:id="rId10" w:tooltip="Кредитная организация" w:history="1">
        <w:r w:rsidRPr="009253E4">
          <w:rPr>
            <w:rFonts w:ascii="Times New Roman" w:eastAsia="Times New Roman" w:hAnsi="Times New Roman"/>
            <w:sz w:val="24"/>
            <w:szCs w:val="24"/>
            <w:lang w:eastAsia="ru-RU"/>
          </w:rPr>
          <w:t>кредитными организациями</w:t>
        </w:r>
      </w:hyperlink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открываются счета клиентов и заключается договор между банком и клиентом.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межбанковских безналичных расчетов банки открывают в других банках корреспондентские счета. Кроме того, для проведения межбанковских расчетов и других операций каждый банк имеет в ЦБ РФ корреспондентский счет.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Cs/>
          <w:sz w:val="24"/>
          <w:szCs w:val="24"/>
          <w:lang w:eastAsia="ru-RU"/>
        </w:rPr>
        <w:t>Клиенты банка имеют право открывать в любом банке без ограничения следующие виды банковских счетов:</w:t>
      </w:r>
    </w:p>
    <w:p w:rsidR="001322D7" w:rsidRPr="009253E4" w:rsidRDefault="001322D7" w:rsidP="001322D7">
      <w:pPr>
        <w:numPr>
          <w:ilvl w:val="0"/>
          <w:numId w:val="6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расчетный счет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2D7" w:rsidRPr="009253E4" w:rsidRDefault="001322D7" w:rsidP="001322D7">
      <w:pPr>
        <w:numPr>
          <w:ilvl w:val="0"/>
          <w:numId w:val="6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Cs/>
          <w:sz w:val="24"/>
          <w:szCs w:val="24"/>
          <w:lang w:eastAsia="ru-RU"/>
        </w:rPr>
        <w:t>текущие счета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2D7" w:rsidRPr="009253E4" w:rsidRDefault="001322D7" w:rsidP="001322D7">
      <w:pPr>
        <w:numPr>
          <w:ilvl w:val="0"/>
          <w:numId w:val="6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Cs/>
          <w:sz w:val="24"/>
          <w:szCs w:val="24"/>
          <w:lang w:eastAsia="ru-RU"/>
        </w:rPr>
        <w:t>депозитные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2D7" w:rsidRPr="009253E4" w:rsidRDefault="001322D7" w:rsidP="001322D7">
      <w:pPr>
        <w:numPr>
          <w:ilvl w:val="0"/>
          <w:numId w:val="6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бюджетные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2D7" w:rsidRPr="009253E4" w:rsidRDefault="001322D7" w:rsidP="001322D7">
      <w:pPr>
        <w:numPr>
          <w:ilvl w:val="0"/>
          <w:numId w:val="6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bCs/>
          <w:sz w:val="24"/>
          <w:szCs w:val="24"/>
          <w:lang w:eastAsia="ru-RU"/>
        </w:rPr>
        <w:t>валютные</w:t>
      </w: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В современных условиях на основании действующего положения ЦБ РФ от 3 октября 2002 г. № 2-П «О безналичных расчетах в Российской Федерации» (в ред. от 2 марта 2008 г.) в России действуют следующие формы безналичных расчетов:</w:t>
      </w:r>
    </w:p>
    <w:p w:rsidR="001322D7" w:rsidRPr="009253E4" w:rsidRDefault="001322D7" w:rsidP="001322D7">
      <w:pPr>
        <w:numPr>
          <w:ilvl w:val="0"/>
          <w:numId w:val="7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расчеты платежными поручениями;</w:t>
      </w:r>
    </w:p>
    <w:p w:rsidR="001322D7" w:rsidRPr="009253E4" w:rsidRDefault="001322D7" w:rsidP="001322D7">
      <w:pPr>
        <w:numPr>
          <w:ilvl w:val="0"/>
          <w:numId w:val="7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расчеты по аккредитиву;</w:t>
      </w:r>
    </w:p>
    <w:p w:rsidR="001322D7" w:rsidRPr="009253E4" w:rsidRDefault="001322D7" w:rsidP="001322D7">
      <w:pPr>
        <w:numPr>
          <w:ilvl w:val="0"/>
          <w:numId w:val="7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расчеты чеками;</w:t>
      </w:r>
    </w:p>
    <w:p w:rsidR="001322D7" w:rsidRPr="009253E4" w:rsidRDefault="001322D7" w:rsidP="001322D7">
      <w:pPr>
        <w:numPr>
          <w:ilvl w:val="0"/>
          <w:numId w:val="7"/>
        </w:numPr>
        <w:shd w:val="clear" w:color="auto" w:fill="FFFFFF"/>
        <w:spacing w:line="240" w:lineRule="auto"/>
        <w:ind w:left="714" w:hanging="35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расчеты по инкассо.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Формы безналичных расчетов применяются клиентами кредитных организаций (филиалов), учреждений и подразделений расчетной сети Банка России, а также самими банками.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Формы безналичных расчетов избираются клиентами банков самостоятельно и предусматриваются в договорах, заключаемых ими со своими контрагентами.</w:t>
      </w:r>
    </w:p>
    <w:p w:rsidR="001322D7" w:rsidRPr="009253E4" w:rsidRDefault="001322D7" w:rsidP="001322D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В рамках форм безналичных расчетов в качестве участников расчетов рассматриваются плательщики и получатели средств (взыскатели), а также обслуживающие и</w:t>
      </w:r>
      <w:bookmarkStart w:id="2" w:name="_Toc452152409"/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t>х банки и банки-корреспонденты.</w:t>
      </w:r>
    </w:p>
    <w:p w:rsidR="001322D7" w:rsidRPr="009253E4" w:rsidRDefault="001322D7" w:rsidP="001322D7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bookmarkEnd w:id="2"/>
    <w:p w:rsidR="00D43605" w:rsidRPr="001322D7" w:rsidRDefault="00D43605">
      <w:pPr>
        <w:rPr>
          <w:rFonts w:ascii="Times New Roman" w:hAnsi="Times New Roman"/>
          <w:sz w:val="24"/>
          <w:szCs w:val="24"/>
        </w:rPr>
      </w:pPr>
    </w:p>
    <w:sectPr w:rsidR="00D43605" w:rsidRPr="001322D7" w:rsidSect="00D4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numPicBullet w:numPicBulletId="4">
    <w:pict>
      <v:shape id="_x0000_i1111" type="#_x0000_t75" style="width:3in;height:3in" o:bullet="t"/>
    </w:pict>
  </w:numPicBullet>
  <w:numPicBullet w:numPicBulletId="5">
    <w:pict>
      <v:shape id="_x0000_i1112" type="#_x0000_t75" style="width:3in;height:3in" o:bullet="t"/>
    </w:pict>
  </w:numPicBullet>
  <w:abstractNum w:abstractNumId="0">
    <w:nsid w:val="1FF25162"/>
    <w:multiLevelType w:val="multilevel"/>
    <w:tmpl w:val="D3342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72641"/>
    <w:multiLevelType w:val="multilevel"/>
    <w:tmpl w:val="A782A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67FAA"/>
    <w:multiLevelType w:val="multilevel"/>
    <w:tmpl w:val="DAAA6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B3D57"/>
    <w:multiLevelType w:val="multilevel"/>
    <w:tmpl w:val="F51CD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E1BD2"/>
    <w:multiLevelType w:val="multilevel"/>
    <w:tmpl w:val="F9501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01FEA"/>
    <w:multiLevelType w:val="multilevel"/>
    <w:tmpl w:val="A914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B1D8A"/>
    <w:multiLevelType w:val="multilevel"/>
    <w:tmpl w:val="DC181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22D7"/>
    <w:rsid w:val="001322D7"/>
    <w:rsid w:val="00D43605"/>
    <w:rsid w:val="00EB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D7"/>
    <w:pPr>
      <w:spacing w:after="0" w:line="360" w:lineRule="exac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22D7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13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c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logistika/materialno-tehnicheskie-resurs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ekonomicheskaya-teoriya/kreditno-bankovskaya-sistem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tudent/finansy/denezhnoe-obrashchenie.html" TargetMode="External"/><Relationship Id="rId10" Type="http://schemas.openxmlformats.org/officeDocument/2006/relationships/hyperlink" Target="http://www.grandars.ru/student/bankovskoe-delo/kreditnaya-organizac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ravovedenie/yuridicheskoe-lic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7493</Characters>
  <Application>Microsoft Office Word</Application>
  <DocSecurity>0</DocSecurity>
  <Lines>62</Lines>
  <Paragraphs>17</Paragraphs>
  <ScaleCrop>false</ScaleCrop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2021-11-12T15:32:00Z</dcterms:created>
  <dcterms:modified xsi:type="dcterms:W3CDTF">2021-11-12T15:34:00Z</dcterms:modified>
</cp:coreProperties>
</file>